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-419099</wp:posOffset>
            </wp:positionH>
            <wp:positionV relativeFrom="paragraph">
              <wp:posOffset>0</wp:posOffset>
            </wp:positionV>
            <wp:extent cx="1152525" cy="88328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35867" l="20168" r="19328" t="31354"/>
                    <a:stretch>
                      <a:fillRect/>
                    </a:stretch>
                  </pic:blipFill>
                  <pic:spPr>
                    <a:xfrm>
                      <a:off x="0" y="0"/>
                      <a:ext cx="1152525" cy="88328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16-19 Student Bursary: ‘Use of Bursary’ form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applicant,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that your application for student bursary has been successful, we need to agree how best to use your award. The aim is to support your education; there are many ways that the student bursary can do this. Please look at the list below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rank each item in order of preference: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6894.0" w:type="dxa"/>
        <w:jc w:val="left"/>
        <w:tblInd w:w="10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50"/>
        <w:gridCol w:w="1044"/>
        <w:tblGridChange w:id="0">
          <w:tblGrid>
            <w:gridCol w:w="5850"/>
            <w:gridCol w:w="1044"/>
          </w:tblGrid>
        </w:tblGridChange>
      </w:tblGrid>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Item</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Priority </w:t>
            </w:r>
          </w:p>
        </w:tc>
      </w:tr>
      <w:t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 costs (e.g. bus pass etc)</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Textbooks for subjects</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Trips</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 (e.g. folders, pens etc)</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Revision guides</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prioritised ‘Other’, then please detail what you mean in the space below:</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287020</wp:posOffset>
                </wp:positionV>
                <wp:extent cx="5715000" cy="1028700"/>
                <wp:effectExtent b="0" l="0" r="0" t="0"/>
                <wp:wrapSquare wrapText="bothSides" distB="45720" distT="45720" distL="114300" distR="114300"/>
                <wp:docPr id="1" name=""/>
                <a:graphic>
                  <a:graphicData uri="http://schemas.microsoft.com/office/word/2010/wordprocessingShape">
                    <wps:wsp>
                      <wps:cNvSpPr/>
                      <wps:cNvPr id="2" name="Shape 2"/>
                      <wps:spPr>
                        <a:xfrm>
                          <a:off x="2493263" y="3270413"/>
                          <a:ext cx="5705475" cy="1019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287020</wp:posOffset>
                </wp:positionV>
                <wp:extent cx="5715000" cy="102870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15000" cy="1028700"/>
                        </a:xfrm>
                        <a:prstGeom prst="rect"/>
                        <a:ln/>
                      </pic:spPr>
                    </pic:pic>
                  </a:graphicData>
                </a:graphic>
              </wp:anchor>
            </w:drawing>
          </mc:Fallback>
        </mc:AlternateConten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discussed the above priorities with a member of the 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 leadership team, please detail your payment plan in the table below:</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6"/>
        <w:gridCol w:w="2337"/>
        <w:gridCol w:w="4343"/>
        <w:tblGridChange w:id="0">
          <w:tblGrid>
            <w:gridCol w:w="2336"/>
            <w:gridCol w:w="2337"/>
            <w:gridCol w:w="4343"/>
          </w:tblGrid>
        </w:tblGridChange>
      </w:tblGrid>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Amount</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To be used for...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tc>
      </w:tr>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Tbc - Payment 1</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5">
            <w:pPr>
              <w:jc w:val="center"/>
              <w:rPr/>
            </w:pPr>
            <w:r w:rsidDel="00000000" w:rsidR="00000000" w:rsidRPr="00000000">
              <w:rPr>
                <w:rtl w:val="0"/>
              </w:rPr>
              <w:t xml:space="preserve">Tbc - Payment 2</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A">
            <w:pPr>
              <w:jc w:val="center"/>
              <w:rPr/>
            </w:pPr>
            <w:r w:rsidDel="00000000" w:rsidR="00000000" w:rsidRPr="00000000">
              <w:rPr>
                <w:rtl w:val="0"/>
              </w:rPr>
              <w:t xml:space="preserve">Tbc - Payment 3</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F">
            <w:pPr>
              <w:jc w:val="center"/>
              <w:rPr/>
            </w:pPr>
            <w:r w:rsidDel="00000000" w:rsidR="00000000" w:rsidRPr="00000000">
              <w:rPr>
                <w:rtl w:val="0"/>
              </w:rPr>
              <w:t xml:space="preserve">Tbc - Payment 4</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4">
            <w:pPr>
              <w:jc w:val="center"/>
              <w:rPr/>
            </w:pPr>
            <w:r w:rsidDel="00000000" w:rsidR="00000000" w:rsidRPr="00000000">
              <w:rPr>
                <w:rtl w:val="0"/>
              </w:rPr>
              <w:t xml:space="preserve">Tbc - Payment 5</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remember that there are performance criteria set by the academy that you must meet to ensure you receive the bursary payments throughout the year. These are set out below. If you have any concerns about them, please raise this in the meeting:</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720" w:right="4" w:hanging="360"/>
        <w:jc w:val="both"/>
        <w:rPr/>
      </w:pPr>
      <w:r w:rsidDel="00000000" w:rsidR="00000000" w:rsidRPr="00000000">
        <w:rPr>
          <w:rtl w:val="0"/>
        </w:rPr>
        <w:t xml:space="preserve">Achieving </w:t>
      </w:r>
      <w:r w:rsidDel="00000000" w:rsidR="00000000" w:rsidRPr="00000000">
        <w:rPr>
          <w:b w:val="1"/>
          <w:rtl w:val="0"/>
        </w:rPr>
        <w:t xml:space="preserve">at least </w:t>
      </w:r>
      <w:r w:rsidDel="00000000" w:rsidR="00000000" w:rsidRPr="00000000">
        <w:rPr>
          <w:rtl w:val="0"/>
        </w:rPr>
        <w:t xml:space="preserve">93.5% attendance in the period prior to the payment </w:t>
      </w:r>
    </w:p>
    <w:p w:rsidR="00000000" w:rsidDel="00000000" w:rsidP="00000000" w:rsidRDefault="00000000" w:rsidRPr="00000000" w14:paraId="0000003E">
      <w:pPr>
        <w:numPr>
          <w:ilvl w:val="0"/>
          <w:numId w:val="1"/>
        </w:numPr>
        <w:spacing w:after="0" w:line="240" w:lineRule="auto"/>
        <w:ind w:left="720" w:right="4" w:hanging="360"/>
        <w:jc w:val="both"/>
        <w:rPr/>
      </w:pPr>
      <w:r w:rsidDel="00000000" w:rsidR="00000000" w:rsidRPr="00000000">
        <w:rPr>
          <w:rtl w:val="0"/>
        </w:rPr>
        <w:t xml:space="preserve">Achieving 100% exam attendance in the period prior to the payment</w:t>
      </w:r>
    </w:p>
    <w:p w:rsidR="00000000" w:rsidDel="00000000" w:rsidP="00000000" w:rsidRDefault="00000000" w:rsidRPr="00000000" w14:paraId="0000003F">
      <w:pPr>
        <w:numPr>
          <w:ilvl w:val="0"/>
          <w:numId w:val="1"/>
        </w:numPr>
        <w:spacing w:after="0" w:line="240" w:lineRule="auto"/>
        <w:ind w:left="720" w:right="4" w:hanging="360"/>
        <w:jc w:val="both"/>
        <w:rPr/>
      </w:pPr>
      <w:r w:rsidDel="00000000" w:rsidR="00000000" w:rsidRPr="00000000">
        <w:rPr>
          <w:rtl w:val="0"/>
        </w:rPr>
        <w:t xml:space="preserve">Attending all registrations and supervised study sessions</w:t>
      </w:r>
    </w:p>
    <w:p w:rsidR="00000000" w:rsidDel="00000000" w:rsidP="00000000" w:rsidRDefault="00000000" w:rsidRPr="00000000" w14:paraId="00000040">
      <w:pPr>
        <w:numPr>
          <w:ilvl w:val="0"/>
          <w:numId w:val="1"/>
        </w:numPr>
        <w:spacing w:after="0" w:line="240" w:lineRule="auto"/>
        <w:ind w:left="720" w:right="4" w:hanging="360"/>
        <w:jc w:val="both"/>
        <w:rPr/>
      </w:pPr>
      <w:r w:rsidDel="00000000" w:rsidR="00000000" w:rsidRPr="00000000">
        <w:rPr>
          <w:rtl w:val="0"/>
        </w:rPr>
        <w:t xml:space="preserve">Submitting all assignments on time and behaving according to BCCS Code of Conduct.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Finally, having agreed the plan for the year ahead and reviewed the school performance criteria, please be aware that if you require any help with budgeting or finance during the year, we are available to support you: please come and see us.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 regards,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Sixth Form Leadership</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Bristol Cathedral Choir School</w:t>
      </w:r>
    </w:p>
    <w:sectPr>
      <w:head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